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4" w:lineRule="exact"/>
        <w:rPr>
          <w:rFonts w:ascii="黑体" w:hAnsi="黑体" w:eastAsia="黑体"/>
          <w:sz w:val="32"/>
          <w:szCs w:val="32"/>
        </w:rPr>
      </w:pPr>
    </w:p>
    <w:tbl>
      <w:tblPr>
        <w:tblStyle w:val="10"/>
        <w:tblW w:w="1406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624"/>
        <w:gridCol w:w="1984"/>
        <w:gridCol w:w="8277"/>
        <w:gridCol w:w="1984"/>
        <w:gridCol w:w="11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tblHeader/>
          <w:jc w:val="center"/>
        </w:trPr>
        <w:tc>
          <w:tcPr>
            <w:tcW w:w="62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国家标准编号</w:t>
            </w:r>
          </w:p>
        </w:tc>
        <w:tc>
          <w:tcPr>
            <w:tcW w:w="8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国  家  标  准  名  称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代替标准号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实施日期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1.1-2020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标准化工作导则  第1部分：标准化文件的结构和起草规则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1.1-2009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896-2020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开口挡圈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896-1986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1094.15-2020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电力变压器  第15部分：充气式电力变压器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1628-2020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工业用冰乙酸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1628-2008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2893.2-2020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图形符号  安全色和安全标志  第2部分：产品安全标签的设计原则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2893.2-2008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2893.5-2020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图形符号  安全色和安全标志  第5部分：安全标志使用原则与要求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3098.9-2020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紧固件机械性能 有效力矩型钢锁紧螺母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3098.9-2010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3098.23-2020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紧固件机械性能 M42～M72螺栓、螺钉和螺柱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3103.3-2020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紧固件公差 平垫圈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3103.3-2000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3190-2020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变形铝及铝合金化学成分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3190-2008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3198-2020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铝及铝合金箔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3198-2010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3676-2020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工业用顺丁烯二酸酐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3676-2008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3.6 kV～40.5 kV交流金属封闭开关设备和控制设备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3906-2006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4156-2020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金属材料  薄板和薄带  埃里克森杯突试验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4156-2007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5137.1-2020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汽车安全玻璃试验方法 第1部分：力学性能试验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5137.1-2002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5137.2-2020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汽车安全玻璃试验方法 第2部分：光学性能试验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5137.2-2002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5137.3-2020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汽车安全玻璃试验方法 第3部分：耐辐照、高温、潮湿、燃烧和耐模拟气候试验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5137.3-2002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5137.4-2020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汽车安全玻璃试验方法 第4部分：太阳能特性试验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5137.4-2001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5137.5-2020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汽车安全玻璃试验方法 第5部分：耐化学侵蚀性和耐温度变化性试验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17339-1998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5959.12-2020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电热和电磁处理装置的安全 第12部分：对红外电热装置的特殊要求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6041-2020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质谱分析方法通则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6041-2002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6324.10-2020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有机化工产品试验方法  第10部分：有机液体化工产品微量硫的测定  紫外荧光法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6931.1-2020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带传动 术语 第1部分：基本术语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6931.1-2008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6931.2-2020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带传动 术语 第2部分：V带和多楔带传动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6931.2-2008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6931.3-2020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带传动 术语 第3部分：同步带传动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6931.3-2008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8243.14-2020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内燃机全流式机油滤清器试验方法 第14部分：复合材料滤清器的冷起动模拟和液压脉冲耐久试验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8478-2020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铝合金门窗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8478-2008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9330-2020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塑料绝缘控制电缆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9330.1-2008, GB/T 9330.2-2008, GB/T 9330.3-2008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10066.12-2020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电热装置的试验方法 第12部分：红外电热装置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10066.12-2006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10068-2020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轴中心高为56mm及以上电机的机械振动 振动的测量、评定及限值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10068-2008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12602-2020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起重机械超载保护装置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12602-2009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12706.1-2020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额定电压1 kV(Um=1.2 kV)到35 kV(Um=40.5 kV)挤包绝缘电力电缆及附件 第1部分：额定电压1 kV(Um=1.2 kV)和3 kV(Um=3.6 kV)电缆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12706.1-2008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12706.2-2020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额定电压1 kV(Um=1.2 kV)到35 kV(Um=40.5 kV)挤包绝缘电力电缆及附件 第2部分：额定电压6 kV(Um=7.2kV)到30 kV(Um=36 kV)电缆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12706.2-2008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12706.3-2020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额定电压1kV(Um=1.2 kV)到35kV(Um=40.5 kV)挤包绝缘电力电缆及附件 第3部分：额定电压35kV(Um=40.5kV)电缆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12706.3-2008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12706.4-2020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额定电压1kV(Um=1.2kV)到35kV(Um=40.5kV)挤包绝缘电力电缆及附件 第4部分:额定电压6kV(Um=7.2kV)到35kV(Um=40.5kV)电力电缆附件试验要求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12706.4-2008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12729.2-2020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香辛料和调味品 取样方法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12729.2-2008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12729.4-2020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香辛料和调味品 磨碎细度的测定（手筛法）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12729.4-2008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12729.5-2020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香辛料和调味品 外来物含量的测定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12729.5-2008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13554-2020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高效空气过滤器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13554-2008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14833-2020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合成材料运动场地面层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14833-2011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14850-2020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气体分析  词汇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14850-2008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15008-2020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耐蚀合金棒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15008-2008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15344-2020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滑石物理检验方法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15344-2012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15565-2020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图形符号 术语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15565.1-2008, GB/T 15565.2-2008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15566.1-2020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公共信息导向系统  设置原则与要求  第1部分：总则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15566.1-2007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15566.3-2020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公共信息导向系统  设置原则与要求  第3部分：铁路旅客车站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15566.3-2007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</w:t>
            </w:r>
            <w:r>
              <w:rPr>
                <w:rFonts w:hint="eastAsia" w:ascii="仿宋_GB2312" w:hAnsi="宋体" w:eastAsia="仿宋_GB2312" w:cs="宋体"/>
                <w:spacing w:val="-6"/>
                <w:kern w:val="0"/>
                <w:sz w:val="22"/>
              </w:rPr>
              <w:t xml:space="preserve"> 16857.901-2020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产品几何技术规范（GPS） 坐标测量机的验收检测和复检检测 第901部分：配置多影像探测系统的坐标测量机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16900.2-2020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图形符号表示规则 第2部分：理解度测试方法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16903.2-2013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16900.4-2020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图形符号表示规则 第4部分：对象相关性测试方法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17045-2020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电击防护 装置和设备的通用部分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17045-2008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17467-2020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高压/低压预装式变电站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17467-2010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17475-2020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重烃类混合物蒸馏试验 真空釜式蒸馏法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17475-1998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17766-2020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固体矿产资源储量分类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17766-1999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2020-05-01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18916.47-2020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取水定额 第47部分：多晶硅生产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18916.48-2020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取水定额 第48部分：维纶产品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18916.49-2020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取水定额 第49部分：锦纶产品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18916.50-2020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取水定额 第50部分：聚酯涤纶产品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18920-2020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城市污水再生利用 城市杂用水水质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18920-2002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19492-2020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油气矿产资源储量分类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19492-2004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2020-05-01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</w:t>
            </w:r>
            <w:r>
              <w:rPr>
                <w:rFonts w:hint="eastAsia" w:ascii="仿宋_GB2312" w:hAnsi="宋体" w:eastAsia="仿宋_GB2312" w:cs="宋体"/>
                <w:spacing w:val="-6"/>
                <w:kern w:val="0"/>
                <w:sz w:val="22"/>
              </w:rPr>
              <w:t xml:space="preserve"> 20840.102-2020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互感器  第102部分：带有电磁式电压互感器的变电站中的铁磁谐振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</w:t>
            </w:r>
            <w:r>
              <w:rPr>
                <w:rFonts w:hint="eastAsia" w:ascii="仿宋_GB2312" w:hAnsi="宋体" w:eastAsia="仿宋_GB2312" w:cs="宋体"/>
                <w:spacing w:val="-6"/>
                <w:kern w:val="0"/>
                <w:sz w:val="22"/>
              </w:rPr>
              <w:t xml:space="preserve"> 20840.103-2020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互感器  第103部分：互感器在电能质量测量中的应用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22302-2019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干牛至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22302-2008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22641-2020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船用铝合金板材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22641-2008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23127-2020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与水源连接的电器 避免虹吸和软管组件失效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23127-2008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23809.1-2020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应急导向系统 设置原则与要求 第1部分：建筑物内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23809-2009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23809.2-2020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应急导向系统  设置原则与要求  第2部分：建筑物外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23809.3-2020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应急导向系统 设置原则与要求 第3部分：人员掩蔽工程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24260-2020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石油地震检波器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24260-2009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24915-2020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合同能源管理技术通则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24915-2010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25156-2020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橡胶塑料注射成型机通用技术要求及检测方法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</w:t>
            </w:r>
            <w:r>
              <w:rPr>
                <w:rFonts w:ascii="仿宋_GB2312" w:hAnsi="宋体" w:eastAsia="仿宋_GB2312" w:cs="宋体"/>
                <w:kern w:val="0"/>
                <w:sz w:val="22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25156-2010,</w:t>
            </w:r>
            <w:r>
              <w:rPr>
                <w:rFonts w:ascii="仿宋_GB2312" w:hAnsi="宋体" w:eastAsia="仿宋_GB2312" w:cs="宋体"/>
                <w:kern w:val="0"/>
                <w:sz w:val="22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25157-2010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25895.2-2020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水域安全标志和海滩安全旗 第2部分：海滩安全旗颜色、形状、含义及性能的规范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25895.2-2010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25895.3-2020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水域安全标志和海滩安全旗  第3部分：使用指南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25895.3-2010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26548.4-2020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手持便携式动力工具  振动试验方法  第4部分：直柄式砂轮机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27021.6-2020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合格评定 管理体系审核认证机构要求 第6部分：业务连续性管理体系审核认证能力要求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27207-2020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合格评定  服务认证模式选择与应用导则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28575-2020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YE3系列（IP55）三相异步电动机技术条件（机座号63～355）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28575-2012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30987-2020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植物中游离氨基酸的测定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30987-2014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2020-03-31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31523.3-2020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安全信息识别系统  第3部分：设计原则与要求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32383-2020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城市轨道交通直线电机车辆通用技术条件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32383-2015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33598.2-2020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车用动力电池回收利用 再生利用  第2部分：材料回收要求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34015.2-2020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车用动力电池回收利用 梯次利用  第2部分：拆卸要求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38371.2-2020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数字内容对象存储、复用与交换规范  第2部分：对象封装、存储与交换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38371.3-2020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数字内容对象存储、复用与交换规范  第3部分：对象一致性检查方法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38567-2020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港口物流作业数据交换通用技术规范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38568-2020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工业微生物菌株生长表型测定 微液滴浊度法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2020-03-31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38569-2020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工业微生物菌株质量评价  拉曼光谱法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2020-03-31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38570-2020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植物转基因成分测定  目标序列测序法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2020-03-31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38571-2020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植物次生代谢物生物碱的检测 液相色谱-质谱法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2020-03-31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38572-2020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食用豌豆淀粉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38573-2020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预糊化淀粉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38574-2020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食品追溯二维码通用技术要求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2021-04-01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38576-2020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人类血液样本采集与处理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2020-03-31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38577-2020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植物激素类次生代谢产物的生物活性测定  指示植物法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2020-03-31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38578-2020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水产源致敏性蛋白快速检测  毛细管电泳法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2020-03-31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38579-2020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生物产品中光合细菌测定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2020-03-31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38580-2020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微生物诱变育种技术规范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2020-03-31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38581-2020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香菇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38584-2020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公园服务基本要求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38585-2020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城镇供热直埋管道接头保温技术条件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38586-2020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真空玻璃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38587-2020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汽车玻璃识别码信息要求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38588-2020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城镇供热保温管网系统散热损失现场检测方法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38591-2020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建筑抗震韧性评价标准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38592-2020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纺织染整助剂产品中4,4'-亚甲基双(2-氯苯胺)的测定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38593-2020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间三氟甲基苯胺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38594-2020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管网叠压供水设备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38595-2020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燃气燃烧器和燃烧器具用安全和控制装置  特殊要求  机械式温度控制装置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38596-2020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催化剂生产废水中重金属含量的测定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38597-2020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低挥发性有机化合物含量涂料产品技术要求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38599-2020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安全阀与爆破片安全装置的组合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38601-2020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功率提取联轴器 通用技术要求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38602-2020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湿式催化氧化有机废水催化剂活性试验方法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38603-2020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燃气燃烧器和燃烧器具用安全和控制装置 特殊要求 电子控制器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38604.1-2020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公共信息导向系统  评价要求  第1部分：总则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38604.2-2020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公共信息导向系统  评价要求  第2部分：铁路旅客车站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38604.3-2020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公共信息导向系统  评价要求  第3部分：城市轨道交通车站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38604.4-2020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公共信息导向系统  评价要求  第4部分：公共汽电车车站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38605-2020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应急导向系统 疏散掩蔽用图形符号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38606-2020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物联网标识体系 数据内容标识符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38607-2020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办公家具 桌台类 稳定性、强度和耐久性测试方法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38608-2020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油墨中可挥发性有机化合物（VOCs）含量的测定方法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38609-2020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家用深油炸锅 性能测试方法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38610-2020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家用电动洗干一体机 性能测试方法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38611-2020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办公家具 办公工作椅 稳定性、强度和耐久性测试方法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38612-2020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人造革合成革试验方法 拉伸负荷及断裂伸长率的测定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38613-2020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航天项目独立评估工作实施要求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38650-2020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管道系统安全信息标记  设计原则与要求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38651.1-2020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公共信息标志载体  第1部分：技术要求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38651.2-2020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公共信息标志载体  第2部分：检验方法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38651.3-2020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公共信息标志载体  第3部分：安装要求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38651.4-2020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公共信息标志载体  第4部分：维护要求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38652-2020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电子商务业务术语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38653-2020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核电厂常规岛高压加热器技术条件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38654-2020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公共信息导向系统 规划设计指南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38655-2020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公共信息导向系统 人类工效学设计与设置指南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38656-2020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特种设备物联网系统数据交换技术规范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38657-2020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核电厂常规岛低压加热器技术条件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38658-2020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3.6 kV～40.5 kV交流金属封闭开关设备和控制设备型式试验有效性的延伸导则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38659.1-2020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电磁兼容 风险评估 第1部分：电子电气设备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38660-2020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物联网标识体系 Ecode标识系统安全机制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38661-2020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电动汽车用电池管理系统技术条件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38662-2020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物联网标识体系 Ecode标识应用指南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38663-2020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物联网标识体系 Ecode标识体系中间件规范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38677-2020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气体分析 测量过程及结果 校准技术要求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38678-2020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浅层地热能利用通用技术要求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38679-2020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车辆行驶跑偏试验方法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38680-2020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工业低品位余热集中供热系统技术导则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38681-2020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工业炉用耐蚀合金无缝管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38682-2020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流体输送用镍-铁-铬合金焊接管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38683-2020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轴承钢中大夹杂物的超声检测方法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38684-2020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金属材料 薄板和薄带 双轴应力-应变曲线胀形试验 光学测量方法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38685-2020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硫酸工业尾气硫酸雾的测定方法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38686-2020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超薄玻璃柔韧性试验方法 两点弯曲法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38687-2020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橡胶塑料机械 外围设备通信协议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38688-2020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耐蚀合金热轧厚板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38689-2020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耐蚀合金冷轧薄板及带材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38690-2020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耐蚀合金热轧薄板及带材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38691-2020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石油炼制催化剂比表面积测试方法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38692-2020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用能单位能耗在线监测技术要求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38693-2020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燃气燃烧器和燃烧器具用安全和控制装置  特殊要求  热电式熄火保护装置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38694-2020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车辆右转弯提示音要求及试验方法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38695-2020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城市轨道交通无砟轨道技术条件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38697-2020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块菌（松露）鲜品质量等级规格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38698.1-2020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车用动力电池回收利用 管理规范  第1部分：包装运输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38699-2020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村级公共服务中心建设与管理规范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2020-03-31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38700-2020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特种设备追溯系统数据元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38701-2020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供应链安全管理体系  对供应链安全管理体系审核认证机构的要求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2020-09-01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38702-2020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供应链安全管理体系  实施供应链安全、评估和计划的最佳实践  要求和指南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2020-09-01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38703-2020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汽车货运代理服务质量要求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170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38704-2020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建筑木框架幕墙组件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171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38705-2020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城镇供热设施运行安全信息分类与基本要求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172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38706-2020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陶瓷行业能源管理体系实施指南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173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38707-2020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城市轨道交通运营技术规范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</w:t>
            </w:r>
            <w:r>
              <w:rPr>
                <w:rFonts w:ascii="仿宋_GB2312" w:hAnsi="宋体" w:eastAsia="仿宋_GB2312" w:cs="宋体"/>
                <w:kern w:val="0"/>
                <w:sz w:val="22"/>
              </w:rPr>
              <w:t>74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38708-2020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国际贸易货物交付与货款支付的风险控制与防范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ascii="仿宋_GB2312" w:hAnsi="宋体" w:eastAsia="仿宋_GB2312" w:cs="宋体"/>
                <w:kern w:val="0"/>
                <w:sz w:val="22"/>
              </w:rPr>
              <w:t>175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38709-2020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国际货运代理铁路联运作业规范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</w:t>
            </w:r>
            <w:r>
              <w:rPr>
                <w:rFonts w:ascii="仿宋_GB2312" w:hAnsi="宋体" w:eastAsia="仿宋_GB2312" w:cs="宋体"/>
                <w:kern w:val="0"/>
                <w:sz w:val="22"/>
              </w:rPr>
              <w:t>76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38710-2020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油气输送管道地理信息系统建设指南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2020-05-01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</w:t>
            </w:r>
            <w:r>
              <w:rPr>
                <w:rFonts w:ascii="仿宋_GB2312" w:hAnsi="宋体" w:eastAsia="仿宋_GB2312" w:cs="宋体"/>
                <w:kern w:val="0"/>
                <w:sz w:val="22"/>
              </w:rPr>
              <w:t>77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38711-2020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超薄玻璃再热线收缩率试验方法 激光法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</w:t>
            </w:r>
            <w:r>
              <w:rPr>
                <w:rFonts w:ascii="仿宋_GB2312" w:hAnsi="宋体" w:eastAsia="仿宋_GB2312" w:cs="宋体"/>
                <w:kern w:val="0"/>
                <w:sz w:val="22"/>
              </w:rPr>
              <w:t>78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38712-2020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超薄玻璃导热系数试验方法 热流法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</w:t>
            </w:r>
            <w:r>
              <w:rPr>
                <w:rFonts w:ascii="仿宋_GB2312" w:hAnsi="宋体" w:eastAsia="仿宋_GB2312" w:cs="宋体"/>
                <w:kern w:val="0"/>
                <w:sz w:val="22"/>
              </w:rPr>
              <w:t>79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38713-2020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海洋平台结构用中锰钢钢板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</w:t>
            </w:r>
            <w:r>
              <w:rPr>
                <w:rFonts w:ascii="仿宋_GB2312" w:hAnsi="宋体" w:eastAsia="仿宋_GB2312" w:cs="宋体"/>
                <w:kern w:val="0"/>
                <w:sz w:val="22"/>
              </w:rPr>
              <w:t>80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38714-2020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高导热镁合金型材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</w:t>
            </w:r>
            <w:r>
              <w:rPr>
                <w:rFonts w:ascii="仿宋_GB2312" w:hAnsi="宋体" w:eastAsia="仿宋_GB2312" w:cs="宋体"/>
                <w:kern w:val="0"/>
                <w:sz w:val="22"/>
              </w:rPr>
              <w:t>81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38715-2020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高强度镁合金棒材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</w:t>
            </w:r>
            <w:r>
              <w:rPr>
                <w:rFonts w:ascii="仿宋_GB2312" w:hAnsi="宋体" w:eastAsia="仿宋_GB2312" w:cs="宋体"/>
                <w:kern w:val="0"/>
                <w:sz w:val="22"/>
              </w:rPr>
              <w:t>82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38716-2020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中小学生安全教育服务规范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2020-09-01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</w:t>
            </w:r>
            <w:r>
              <w:rPr>
                <w:rFonts w:ascii="仿宋_GB2312" w:hAnsi="宋体" w:eastAsia="仿宋_GB2312" w:cs="宋体"/>
                <w:kern w:val="0"/>
                <w:sz w:val="22"/>
              </w:rPr>
              <w:t>83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38717-2020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水陆两栖飞机术语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</w:t>
            </w:r>
            <w:r>
              <w:rPr>
                <w:rFonts w:ascii="仿宋_GB2312" w:hAnsi="宋体" w:eastAsia="仿宋_GB2312" w:cs="宋体"/>
                <w:kern w:val="0"/>
                <w:sz w:val="22"/>
              </w:rPr>
              <w:t>84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38718-2020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页岩油地质评价方法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</w:t>
            </w:r>
            <w:r>
              <w:rPr>
                <w:rFonts w:ascii="仿宋_GB2312" w:hAnsi="宋体" w:eastAsia="仿宋_GB2312" w:cs="宋体"/>
                <w:kern w:val="0"/>
                <w:sz w:val="22"/>
              </w:rPr>
              <w:t>85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38719-2020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金属材料 管 测定双轴应力-应变曲线的液压胀形试验方法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</w:t>
            </w:r>
            <w:r>
              <w:rPr>
                <w:rFonts w:ascii="仿宋_GB2312" w:hAnsi="宋体" w:eastAsia="仿宋_GB2312" w:cs="宋体"/>
                <w:kern w:val="0"/>
                <w:sz w:val="22"/>
              </w:rPr>
              <w:t>86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38720-2020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中碳钢与中碳合金结构钢淬火金相组织检验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　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49" w:leftChars="-25" w:right="-49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</w:tbl>
    <w:p>
      <w:pPr>
        <w:spacing w:line="600" w:lineRule="exact"/>
        <w:rPr>
          <w:rFonts w:ascii="仿宋_GB2312" w:eastAsia="仿宋_GB2312"/>
          <w:sz w:val="32"/>
          <w:szCs w:val="32"/>
        </w:rPr>
        <w:sectPr>
          <w:footerReference r:id="rId3" w:type="default"/>
          <w:footerReference r:id="rId4" w:type="even"/>
          <w:pgSz w:w="16838" w:h="11906" w:orient="landscape"/>
          <w:pgMar w:top="1985" w:right="1474" w:bottom="1361" w:left="1474" w:header="851" w:footer="1191" w:gutter="0"/>
          <w:cols w:space="425" w:num="1"/>
          <w:docGrid w:type="linesAndChars" w:linePitch="295" w:charSpace="-2370"/>
        </w:sectPr>
      </w:pPr>
      <w:bookmarkStart w:id="0" w:name="_GoBack"/>
      <w:bookmarkEnd w:id="0"/>
    </w:p>
    <w:p>
      <w:pPr>
        <w:spacing w:line="20" w:lineRule="exact"/>
        <w:rPr>
          <w:rFonts w:ascii="方正小标宋简体" w:eastAsia="方正小标宋简体"/>
          <w:sz w:val="32"/>
          <w:szCs w:val="32"/>
        </w:rPr>
      </w:pPr>
    </w:p>
    <w:sectPr>
      <w:pgSz w:w="11906" w:h="16838"/>
      <w:pgMar w:top="1984" w:right="1474" w:bottom="1361" w:left="1474" w:header="851" w:footer="1361" w:gutter="0"/>
      <w:cols w:space="0" w:num="1"/>
      <w:docGrid w:type="linesAndChars" w:linePitch="293" w:charSpace="-13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943211655"/>
    </w:sdtPr>
    <w:sdtContent>
      <w:p>
        <w:pPr>
          <w:pStyle w:val="4"/>
          <w:ind w:right="315" w:rightChars="150"/>
          <w:jc w:val="right"/>
        </w:pPr>
        <w:r>
          <w:rPr>
            <w:rFonts w:hint="eastAsia" w:asciiTheme="minorEastAsia" w:hAnsiTheme="minorEastAsia"/>
            <w:sz w:val="28"/>
            <w:szCs w:val="28"/>
          </w:rPr>
          <w:t xml:space="preserve">— </w:t>
        </w: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1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3736517"/>
    </w:sdtPr>
    <w:sdtContent>
      <w:p>
        <w:pPr>
          <w:pStyle w:val="4"/>
          <w:ind w:firstLine="180" w:firstLineChars="100"/>
        </w:pPr>
        <w:r>
          <w:rPr>
            <w:rFonts w:hint="eastAsia" w:asciiTheme="minorEastAsia" w:hAnsiTheme="minorEastAsia"/>
            <w:sz w:val="28"/>
            <w:szCs w:val="28"/>
          </w:rPr>
          <w:t xml:space="preserve">— </w:t>
        </w: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2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/>
            <w:sz w:val="28"/>
            <w:szCs w:val="28"/>
          </w:rPr>
          <w:t xml:space="preserve"> —</w:t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doNotDisplayPageBoundaries w:val="1"/>
  <w:bordersDoNotSurroundHeader w:val="1"/>
  <w:bordersDoNotSurroundFooter w:val="1"/>
  <w:documentProtection w:enforcement="0"/>
  <w:defaultTabStop w:val="420"/>
  <w:evenAndOddHeaders w:val="1"/>
  <w:drawingGridHorizontalSpacing w:val="102"/>
  <w:drawingGridVerticalSpacing w:val="14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9D8"/>
    <w:rsid w:val="00004FCA"/>
    <w:rsid w:val="00071969"/>
    <w:rsid w:val="000876F0"/>
    <w:rsid w:val="000B3EFD"/>
    <w:rsid w:val="000C49E0"/>
    <w:rsid w:val="000D5B66"/>
    <w:rsid w:val="000D790F"/>
    <w:rsid w:val="000F7586"/>
    <w:rsid w:val="001032EE"/>
    <w:rsid w:val="0010470F"/>
    <w:rsid w:val="00104812"/>
    <w:rsid w:val="001469AE"/>
    <w:rsid w:val="00155DC5"/>
    <w:rsid w:val="00155DEA"/>
    <w:rsid w:val="0021368D"/>
    <w:rsid w:val="002266CE"/>
    <w:rsid w:val="0022745F"/>
    <w:rsid w:val="00252FFA"/>
    <w:rsid w:val="002538CF"/>
    <w:rsid w:val="002658B1"/>
    <w:rsid w:val="002822D3"/>
    <w:rsid w:val="002B0F2A"/>
    <w:rsid w:val="002E095D"/>
    <w:rsid w:val="002F3A19"/>
    <w:rsid w:val="003104B2"/>
    <w:rsid w:val="00311B6E"/>
    <w:rsid w:val="00320F5F"/>
    <w:rsid w:val="00323E68"/>
    <w:rsid w:val="00324D3F"/>
    <w:rsid w:val="00327DA0"/>
    <w:rsid w:val="00335EC4"/>
    <w:rsid w:val="00351491"/>
    <w:rsid w:val="003775E7"/>
    <w:rsid w:val="003837FA"/>
    <w:rsid w:val="003F2E00"/>
    <w:rsid w:val="00424297"/>
    <w:rsid w:val="004429D8"/>
    <w:rsid w:val="00454772"/>
    <w:rsid w:val="004600C3"/>
    <w:rsid w:val="00477BE9"/>
    <w:rsid w:val="00481181"/>
    <w:rsid w:val="004D6D23"/>
    <w:rsid w:val="004E17DD"/>
    <w:rsid w:val="00503534"/>
    <w:rsid w:val="0052635E"/>
    <w:rsid w:val="00551578"/>
    <w:rsid w:val="00557032"/>
    <w:rsid w:val="00557A9E"/>
    <w:rsid w:val="0056114A"/>
    <w:rsid w:val="00565959"/>
    <w:rsid w:val="005D6F75"/>
    <w:rsid w:val="005F4C96"/>
    <w:rsid w:val="0064381B"/>
    <w:rsid w:val="0064748E"/>
    <w:rsid w:val="00657DF0"/>
    <w:rsid w:val="0069441F"/>
    <w:rsid w:val="006D46D7"/>
    <w:rsid w:val="006D7173"/>
    <w:rsid w:val="006E54E0"/>
    <w:rsid w:val="00711DE4"/>
    <w:rsid w:val="007251BD"/>
    <w:rsid w:val="00725A63"/>
    <w:rsid w:val="00741BDB"/>
    <w:rsid w:val="00797B44"/>
    <w:rsid w:val="007C24E5"/>
    <w:rsid w:val="007E77D6"/>
    <w:rsid w:val="0081081C"/>
    <w:rsid w:val="00832DB0"/>
    <w:rsid w:val="0083485C"/>
    <w:rsid w:val="0083539A"/>
    <w:rsid w:val="008D137A"/>
    <w:rsid w:val="008D6AB9"/>
    <w:rsid w:val="008E2BAD"/>
    <w:rsid w:val="0092555A"/>
    <w:rsid w:val="00930684"/>
    <w:rsid w:val="00970FD0"/>
    <w:rsid w:val="0097182D"/>
    <w:rsid w:val="00972632"/>
    <w:rsid w:val="00984EBE"/>
    <w:rsid w:val="009A0CD9"/>
    <w:rsid w:val="009F29E5"/>
    <w:rsid w:val="00A363FD"/>
    <w:rsid w:val="00A47A93"/>
    <w:rsid w:val="00A6334C"/>
    <w:rsid w:val="00AA50BF"/>
    <w:rsid w:val="00AE0F6D"/>
    <w:rsid w:val="00AE614E"/>
    <w:rsid w:val="00AF5CC7"/>
    <w:rsid w:val="00B04DE9"/>
    <w:rsid w:val="00B12011"/>
    <w:rsid w:val="00B94F71"/>
    <w:rsid w:val="00BA5984"/>
    <w:rsid w:val="00BD57AA"/>
    <w:rsid w:val="00C169B5"/>
    <w:rsid w:val="00C332C5"/>
    <w:rsid w:val="00C46301"/>
    <w:rsid w:val="00CA77B7"/>
    <w:rsid w:val="00CF672F"/>
    <w:rsid w:val="00D37AF5"/>
    <w:rsid w:val="00D417A2"/>
    <w:rsid w:val="00D453F2"/>
    <w:rsid w:val="00D57592"/>
    <w:rsid w:val="00DE46D5"/>
    <w:rsid w:val="00DE525F"/>
    <w:rsid w:val="00DF3400"/>
    <w:rsid w:val="00E13730"/>
    <w:rsid w:val="00E179A1"/>
    <w:rsid w:val="00E20D67"/>
    <w:rsid w:val="00E43697"/>
    <w:rsid w:val="00E44CF2"/>
    <w:rsid w:val="00E61426"/>
    <w:rsid w:val="00E82F5A"/>
    <w:rsid w:val="00ED4ACE"/>
    <w:rsid w:val="00EE373F"/>
    <w:rsid w:val="00EF45A3"/>
    <w:rsid w:val="00F072A3"/>
    <w:rsid w:val="00F21548"/>
    <w:rsid w:val="00F808A4"/>
    <w:rsid w:val="00F865F5"/>
    <w:rsid w:val="00F975C7"/>
    <w:rsid w:val="00FB4E4D"/>
    <w:rsid w:val="00FC1A26"/>
    <w:rsid w:val="00FF0E72"/>
    <w:rsid w:val="02C848FD"/>
    <w:rsid w:val="0C412847"/>
    <w:rsid w:val="0C692CAD"/>
    <w:rsid w:val="172542E1"/>
    <w:rsid w:val="2ED25922"/>
    <w:rsid w:val="544818ED"/>
    <w:rsid w:val="61F21B84"/>
    <w:rsid w:val="63C068D1"/>
    <w:rsid w:val="6AA35138"/>
    <w:rsid w:val="7299194E"/>
    <w:rsid w:val="74840A24"/>
    <w:rsid w:val="75177D8C"/>
    <w:rsid w:val="788C576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4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semiHidden/>
    <w:unhideWhenUsed/>
    <w:uiPriority w:val="0"/>
  </w:style>
  <w:style w:type="character" w:styleId="8">
    <w:name w:val="FollowedHyperlink"/>
    <w:basedOn w:val="6"/>
    <w:semiHidden/>
    <w:unhideWhenUsed/>
    <w:qFormat/>
    <w:uiPriority w:val="99"/>
    <w:rPr>
      <w:color w:val="993366"/>
      <w:u w:val="single"/>
    </w:rPr>
  </w:style>
  <w:style w:type="character" w:styleId="9">
    <w:name w:val="Hyperlink"/>
    <w:basedOn w:val="6"/>
    <w:semiHidden/>
    <w:unhideWhenUsed/>
    <w:qFormat/>
    <w:uiPriority w:val="99"/>
    <w:rPr>
      <w:color w:val="0066CC"/>
      <w:u w:val="single"/>
    </w:rPr>
  </w:style>
  <w:style w:type="character" w:customStyle="1" w:styleId="11">
    <w:name w:val="页眉 字符"/>
    <w:basedOn w:val="6"/>
    <w:link w:val="5"/>
    <w:qFormat/>
    <w:uiPriority w:val="99"/>
    <w:rPr>
      <w:sz w:val="18"/>
      <w:szCs w:val="18"/>
    </w:rPr>
  </w:style>
  <w:style w:type="character" w:customStyle="1" w:styleId="12">
    <w:name w:val="页脚 字符"/>
    <w:basedOn w:val="6"/>
    <w:link w:val="4"/>
    <w:qFormat/>
    <w:uiPriority w:val="99"/>
    <w:rPr>
      <w:sz w:val="18"/>
      <w:szCs w:val="18"/>
    </w:rPr>
  </w:style>
  <w:style w:type="character" w:customStyle="1" w:styleId="13">
    <w:name w:val="批注框文本 字符"/>
    <w:basedOn w:val="6"/>
    <w:link w:val="3"/>
    <w:semiHidden/>
    <w:qFormat/>
    <w:uiPriority w:val="99"/>
    <w:rPr>
      <w:sz w:val="18"/>
      <w:szCs w:val="18"/>
    </w:rPr>
  </w:style>
  <w:style w:type="character" w:customStyle="1" w:styleId="14">
    <w:name w:val="日期 字符"/>
    <w:basedOn w:val="6"/>
    <w:link w:val="2"/>
    <w:semiHidden/>
    <w:uiPriority w:val="99"/>
  </w:style>
  <w:style w:type="paragraph" w:customStyle="1" w:styleId="15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16">
    <w:name w:val="xl7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17">
    <w:name w:val="xl7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18">
    <w:name w:val="xl72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19">
    <w:name w:val="xl73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20">
    <w:name w:val="xl74"/>
    <w:basedOn w:val="1"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24"/>
      <w:szCs w:val="24"/>
    </w:rPr>
  </w:style>
  <w:style w:type="paragraph" w:customStyle="1" w:styleId="21">
    <w:name w:val="xl7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32"/>
      <w:szCs w:val="32"/>
    </w:rPr>
  </w:style>
  <w:style w:type="paragraph" w:customStyle="1" w:styleId="22">
    <w:name w:val="xl76"/>
    <w:basedOn w:val="1"/>
    <w:qFormat/>
    <w:uiPriority w:val="0"/>
    <w:pPr>
      <w:widowControl/>
      <w:pBdr>
        <w:lef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3">
    <w:name w:val="xl77"/>
    <w:basedOn w:val="1"/>
    <w:qFormat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4">
    <w:name w:val="xl78"/>
    <w:basedOn w:val="1"/>
    <w:qFormat/>
    <w:uiPriority w:val="0"/>
    <w:pPr>
      <w:widowControl/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5">
    <w:name w:val="xl79"/>
    <w:basedOn w:val="1"/>
    <w:qFormat/>
    <w:uiPriority w:val="0"/>
    <w:pPr>
      <w:widowControl/>
      <w:pBdr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6">
    <w:name w:val="xl80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7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28">
    <w:name w:val="xl82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29">
    <w:name w:val="xl83"/>
    <w:basedOn w:val="1"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30">
    <w:name w:val="xl84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1">
    <w:name w:val="xl8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2">
    <w:name w:val="xl8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32"/>
      <w:szCs w:val="32"/>
    </w:rPr>
  </w:style>
  <w:style w:type="paragraph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xl87"/>
    <w:basedOn w:val="1"/>
    <w:qFormat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5">
    <w:name w:val="xl88"/>
    <w:basedOn w:val="1"/>
    <w:qFormat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6">
    <w:name w:val="xl8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37">
    <w:name w:val="xl90"/>
    <w:basedOn w:val="1"/>
    <w:qFormat/>
    <w:uiPriority w:val="0"/>
    <w:pPr>
      <w:widowControl/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8">
    <w:name w:val="xl91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9">
    <w:name w:val="xl92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0">
    <w:name w:val="xl93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11</Pages>
  <Words>1699</Words>
  <Characters>9686</Characters>
  <Lines>80</Lines>
  <Paragraphs>22</Paragraphs>
  <TotalTime>30</TotalTime>
  <ScaleCrop>false</ScaleCrop>
  <LinksUpToDate>false</LinksUpToDate>
  <CharactersWithSpaces>11363</CharactersWithSpaces>
  <Application>WPS Office_10.8.2.7129_F1E327BC-269C-435d-A152-05C5408002CA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2020-03-02T02:48:00Z</dcterms:created>
  <dc:creator>langlf</dc:creator>
  <cp:lastModifiedBy>sjl</cp:lastModifiedBy>
  <cp:lastPrinted>2020-04-02T01:00:00Z</cp:lastPrinted>
  <dcterms:modified xsi:type="dcterms:W3CDTF">2020-04-02T07:36:16Z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2052-10.8.2.7129</vt:lpwstr>
  </property>
</Properties>
</file>